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5F9D" w14:textId="77777777" w:rsidR="004C2FD3" w:rsidRDefault="004C2FD3" w:rsidP="004C2FD3">
      <w:pPr>
        <w:spacing w:after="0" w:line="360" w:lineRule="auto"/>
        <w:ind w:left="714" w:hanging="357"/>
        <w:jc w:val="both"/>
      </w:pPr>
    </w:p>
    <w:p w14:paraId="301A5F12" w14:textId="35A6956F" w:rsidR="004C2FD3" w:rsidRPr="004C2FD3" w:rsidRDefault="004C2FD3" w:rsidP="004C2FD3">
      <w:pPr>
        <w:pStyle w:val="Akapitzlist"/>
        <w:spacing w:after="0" w:line="360" w:lineRule="auto"/>
        <w:ind w:left="714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 xml:space="preserve">Global Finance and Accounting, </w:t>
      </w:r>
      <w:proofErr w:type="spellStart"/>
      <w:r w:rsidRPr="004C2FD3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speciality</w:t>
      </w:r>
      <w:proofErr w:type="spellEnd"/>
      <w:r w:rsidRPr="004C2FD3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: Banking, financial markets and insurance</w:t>
      </w:r>
    </w:p>
    <w:p w14:paraId="03CC65E4" w14:textId="0EEEA7C3" w:rsidR="004C2FD3" w:rsidRPr="004C2FD3" w:rsidRDefault="004C2FD3" w:rsidP="004C2FD3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S</w:t>
      </w:r>
      <w:r w:rsidRPr="004C2FD3">
        <w:rPr>
          <w:rFonts w:ascii="Times New Roman" w:eastAsia="Times New Roman" w:hAnsi="Times New Roman" w:cs="Times New Roman"/>
          <w:b/>
          <w:bCs/>
          <w:kern w:val="0"/>
          <w:lang w:val="en-US" w:eastAsia="pl-PL"/>
          <w14:ligatures w14:val="none"/>
        </w:rPr>
        <w:t>pecialization-related question</w:t>
      </w:r>
    </w:p>
    <w:p w14:paraId="2F755A1C" w14:textId="77777777" w:rsidR="004C2FD3" w:rsidRPr="004C2FD3" w:rsidRDefault="004C2FD3" w:rsidP="004C2FD3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</w:p>
    <w:p w14:paraId="5FAE9DB5" w14:textId="536D9EE3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Basic types of crowdfunding and differences regarding initiators, funders, and platforms</w:t>
      </w:r>
    </w:p>
    <w:p w14:paraId="48E5104E" w14:textId="1301D0E9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PSD2 Directive and the functioning of the PAYTECH market</w:t>
      </w:r>
    </w:p>
    <w:p w14:paraId="16AF5B3A" w14:textId="27B1B687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proofErr w:type="gramStart"/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Buy</w:t>
      </w:r>
      <w:proofErr w:type="gramEnd"/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 Now, Pay Later (BNPL) </w:t>
      </w:r>
      <w:proofErr w:type="gramStart"/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in light of</w:t>
      </w:r>
      <w:proofErr w:type="gramEnd"/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 the Consumer Credit Directive (CCD and CCD2)</w:t>
      </w:r>
    </w:p>
    <w:p w14:paraId="604B8035" w14:textId="0BE47DB8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Capital requirements for banks under CRD IV and V directives</w:t>
      </w:r>
    </w:p>
    <w:p w14:paraId="4B825DAD" w14:textId="72DD4EF9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Types of international bonds and methods of investing in bonds on the international financial market</w:t>
      </w:r>
    </w:p>
    <w:p w14:paraId="63508951" w14:textId="6E735D9C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Theories and types of exchange rates</w:t>
      </w:r>
    </w:p>
    <w:p w14:paraId="23B0CF9B" w14:textId="74F9C371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Key segments of financial markets</w:t>
      </w:r>
    </w:p>
    <w:p w14:paraId="5119255B" w14:textId="443866D2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Main reference interest rate benchmarks in the EU</w:t>
      </w:r>
    </w:p>
    <w:p w14:paraId="4CBAE8CD" w14:textId="69947240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Valuation of fixed-income and floating-income debt instruments</w:t>
      </w:r>
    </w:p>
    <w:p w14:paraId="3981EB05" w14:textId="5A7DEED3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Modeling the term structure of interest rates</w:t>
      </w:r>
    </w:p>
    <w:p w14:paraId="482203E5" w14:textId="53D6D20F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Basic types of alternative investments and their role in investment portfolio management</w:t>
      </w:r>
    </w:p>
    <w:p w14:paraId="5BFC434E" w14:textId="7F6157B1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Utility theory in the context of portfolio optimization</w:t>
      </w:r>
    </w:p>
    <w:p w14:paraId="77AEDC60" w14:textId="1DFCC194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Basic capital market models and portfolio performance measures</w:t>
      </w:r>
    </w:p>
    <w:p w14:paraId="0A49554D" w14:textId="7DCBD3BB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Multiplier and income methods in company valuation</w:t>
      </w:r>
    </w:p>
    <w:p w14:paraId="3A5A195B" w14:textId="786E1489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4C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Stages</w:t>
      </w:r>
      <w:proofErr w:type="spellEnd"/>
      <w:r w:rsidRPr="004C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of banking </w:t>
      </w:r>
      <w:proofErr w:type="spellStart"/>
      <w:r w:rsidRPr="004C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risk</w:t>
      </w:r>
      <w:proofErr w:type="spellEnd"/>
      <w:r w:rsidRPr="004C2F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management</w:t>
      </w:r>
    </w:p>
    <w:p w14:paraId="2D8B7C3F" w14:textId="6700D23B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Methods of mitigating credit risk in banking activities</w:t>
      </w:r>
    </w:p>
    <w:p w14:paraId="5B2A3B9A" w14:textId="7442B2F3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The standardized approach to estimating capital requirements for credit risk in banks</w:t>
      </w:r>
    </w:p>
    <w:p w14:paraId="7E3D5E0E" w14:textId="7F642918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BION as an instrument for assessing risk scale and the quality of risk management processes in Polish banks</w:t>
      </w:r>
    </w:p>
    <w:p w14:paraId="134E3A7F" w14:textId="20908BA8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proofErr w:type="spellStart"/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VaR</w:t>
      </w:r>
      <w:proofErr w:type="spellEnd"/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 as a method for measuring market risk in banks</w:t>
      </w:r>
    </w:p>
    <w:p w14:paraId="3B26D3E8" w14:textId="75983D6E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Components of operational risk in banks – regulatory approach and examples of occurring events</w:t>
      </w:r>
    </w:p>
    <w:p w14:paraId="5B9C46D8" w14:textId="434DA58F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Systemic risk and tools for its mitigation</w:t>
      </w:r>
    </w:p>
    <w:p w14:paraId="1556A4F6" w14:textId="4983FD16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Valuation of debt and derivative instruments under no-arbitrage conditions</w:t>
      </w:r>
    </w:p>
    <w:p w14:paraId="380338B3" w14:textId="3CA2599E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The essence and types of cyberattacks based on social engineering manipulation methods</w:t>
      </w:r>
    </w:p>
    <w:p w14:paraId="6EA301DE" w14:textId="5E64A6DE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lastRenderedPageBreak/>
        <w:t>Corporate liability insurance as an instrument for managing legal risk</w:t>
      </w:r>
    </w:p>
    <w:p w14:paraId="7E8B8F7D" w14:textId="51ED425E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The role of the pension system in managing longevity risk</w:t>
      </w:r>
    </w:p>
    <w:p w14:paraId="4B0CB9B4" w14:textId="576962FD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The concept of reverse mortgage and models of equity release services</w:t>
      </w:r>
    </w:p>
    <w:p w14:paraId="423CFBA4" w14:textId="79C330EB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Principles of ethical conduct in banking and finance</w:t>
      </w:r>
    </w:p>
    <w:p w14:paraId="388EA6D5" w14:textId="2DD4E496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Ethical codes and CFA ethical standards</w:t>
      </w:r>
    </w:p>
    <w:p w14:paraId="53A31491" w14:textId="28D01356" w:rsidR="004C2FD3" w:rsidRPr="004C2FD3" w:rsidRDefault="004C2FD3" w:rsidP="004C2FD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The essence, structure, and functions of a business plan</w:t>
      </w:r>
    </w:p>
    <w:p w14:paraId="32DC708A" w14:textId="3B99AE43" w:rsidR="007E009C" w:rsidRPr="004C2FD3" w:rsidRDefault="004C2FD3" w:rsidP="004C2FD3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lang w:val="en-US"/>
        </w:rPr>
      </w:pPr>
      <w:r w:rsidRPr="004C2FD3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Economic and financial projection in a business plan – components and preparation principles</w:t>
      </w:r>
    </w:p>
    <w:sectPr w:rsidR="007E009C" w:rsidRPr="004C2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6458"/>
    <w:multiLevelType w:val="hybridMultilevel"/>
    <w:tmpl w:val="99A60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00129"/>
    <w:multiLevelType w:val="hybridMultilevel"/>
    <w:tmpl w:val="105C04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446577">
    <w:abstractNumId w:val="0"/>
  </w:num>
  <w:num w:numId="2" w16cid:durableId="70610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9C"/>
    <w:rsid w:val="00154485"/>
    <w:rsid w:val="003B6EBC"/>
    <w:rsid w:val="004C2FD3"/>
    <w:rsid w:val="00573921"/>
    <w:rsid w:val="005D2E67"/>
    <w:rsid w:val="007E009C"/>
    <w:rsid w:val="008B734E"/>
    <w:rsid w:val="009A3DC9"/>
    <w:rsid w:val="00E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1D727"/>
  <w15:chartTrackingRefBased/>
  <w15:docId w15:val="{CB965548-949C-40E7-8E50-76FF40A4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0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0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0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0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0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0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0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0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0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0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0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0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0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00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0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0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731C4-2AC2-4861-9204-91FF7FA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316</Words>
  <Characters>1759</Characters>
  <Application>Microsoft Office Word</Application>
  <DocSecurity>0</DocSecurity>
  <Lines>39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Jagódka</dc:creator>
  <cp:keywords/>
  <dc:description/>
  <cp:lastModifiedBy>Maciej Jagódka</cp:lastModifiedBy>
  <cp:revision>1</cp:revision>
  <dcterms:created xsi:type="dcterms:W3CDTF">2025-02-17T08:30:00Z</dcterms:created>
  <dcterms:modified xsi:type="dcterms:W3CDTF">2025-02-17T12:35:00Z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27275cb3-1d54-4d31-ac6a-5a2c0971169d</vt:lpwstr>
  </property>
</Properties>
</file>