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366D3" w14:textId="77777777" w:rsidR="0080314D" w:rsidRPr="0080314D" w:rsidRDefault="0080314D" w:rsidP="0080314D">
      <w:pPr>
        <w:rPr>
          <w:b/>
          <w:bCs/>
          <w:color w:val="0070C0"/>
        </w:rPr>
      </w:pPr>
      <w:r w:rsidRPr="0080314D">
        <w:rPr>
          <w:b/>
          <w:bCs/>
          <w:color w:val="0070C0"/>
        </w:rPr>
        <w:t xml:space="preserve">Pytania do egzaminu dyplomowego </w:t>
      </w:r>
    </w:p>
    <w:p w14:paraId="2B6F9995" w14:textId="56187AFF" w:rsidR="0080314D" w:rsidRPr="0080314D" w:rsidRDefault="0080314D" w:rsidP="0080314D">
      <w:pPr>
        <w:rPr>
          <w:b/>
          <w:bCs/>
          <w:color w:val="0070C0"/>
        </w:rPr>
      </w:pPr>
      <w:r w:rsidRPr="0080314D">
        <w:rPr>
          <w:b/>
          <w:bCs/>
          <w:color w:val="0070C0"/>
        </w:rPr>
        <w:t>Studia II stopnia</w:t>
      </w:r>
    </w:p>
    <w:p w14:paraId="135C8EE6" w14:textId="16B1D9B2" w:rsidR="0080314D" w:rsidRPr="0080314D" w:rsidRDefault="0080314D" w:rsidP="0080314D">
      <w:pPr>
        <w:rPr>
          <w:b/>
          <w:bCs/>
          <w:color w:val="0070C0"/>
        </w:rPr>
      </w:pPr>
      <w:r w:rsidRPr="0080314D">
        <w:rPr>
          <w:b/>
          <w:bCs/>
          <w:color w:val="0070C0"/>
        </w:rPr>
        <w:t xml:space="preserve">Specjalność: </w:t>
      </w:r>
      <w:r w:rsidRPr="0080314D">
        <w:rPr>
          <w:b/>
          <w:bCs/>
          <w:color w:val="0070C0"/>
        </w:rPr>
        <w:t>ZARZĄDZANIE RYZYKIEM NA RYNKU UBEZPIECZENIOWYM</w:t>
      </w:r>
    </w:p>
    <w:p w14:paraId="7636A006" w14:textId="77777777" w:rsidR="0080314D" w:rsidRDefault="0080314D" w:rsidP="0080314D"/>
    <w:p w14:paraId="379795B4" w14:textId="60E2C1EE" w:rsidR="0080314D" w:rsidRDefault="0080314D" w:rsidP="0080314D">
      <w:r>
        <w:t xml:space="preserve">1. Zadania i znaczenie aktuariatu dla zakładu ubezpieczeń </w:t>
      </w:r>
    </w:p>
    <w:p w14:paraId="18F04F1F" w14:textId="77777777" w:rsidR="0080314D" w:rsidRDefault="0080314D" w:rsidP="0080314D">
      <w:r>
        <w:t xml:space="preserve">2. Wyznaczanie składek w ubezpieczeniach na życie i majątkowych </w:t>
      </w:r>
    </w:p>
    <w:p w14:paraId="74E8B36C" w14:textId="77777777" w:rsidR="0080314D" w:rsidRDefault="0080314D" w:rsidP="0080314D">
      <w:r>
        <w:t xml:space="preserve">3. Kapitałowe wymogi wypłacalności w </w:t>
      </w:r>
      <w:proofErr w:type="spellStart"/>
      <w:r>
        <w:t>Solvency</w:t>
      </w:r>
      <w:proofErr w:type="spellEnd"/>
      <w:r>
        <w:t xml:space="preserve"> II </w:t>
      </w:r>
    </w:p>
    <w:p w14:paraId="6C42A73B" w14:textId="77777777" w:rsidR="0080314D" w:rsidRDefault="0080314D" w:rsidP="0080314D">
      <w:r>
        <w:t xml:space="preserve">4. Zasada proporcjonalności w odniesieniu do wymogów kapitałowych w </w:t>
      </w:r>
      <w:proofErr w:type="spellStart"/>
      <w:r>
        <w:t>Solvency</w:t>
      </w:r>
      <w:proofErr w:type="spellEnd"/>
      <w:r>
        <w:t xml:space="preserve"> II </w:t>
      </w:r>
    </w:p>
    <w:p w14:paraId="7AD5C49E" w14:textId="77777777" w:rsidR="0080314D" w:rsidRDefault="0080314D" w:rsidP="0080314D">
      <w:r>
        <w:t xml:space="preserve">5. Zasada „ostrożnego inwestora” w działalności lokacyjnej zakładu ubezpieczeń </w:t>
      </w:r>
    </w:p>
    <w:p w14:paraId="661D6061" w14:textId="77777777" w:rsidR="0080314D" w:rsidRDefault="0080314D" w:rsidP="0080314D">
      <w:r>
        <w:t xml:space="preserve">6. Charakterystyka podstawowych metod wyceny aktywów i zobowiązań finansowych </w:t>
      </w:r>
    </w:p>
    <w:p w14:paraId="071FE8D5" w14:textId="77777777" w:rsidR="0080314D" w:rsidRDefault="0080314D" w:rsidP="0080314D">
      <w:r>
        <w:t xml:space="preserve">7. Struktura rachunku zysków i strat banku </w:t>
      </w:r>
    </w:p>
    <w:p w14:paraId="55AE0DF1" w14:textId="77777777" w:rsidR="0080314D" w:rsidRDefault="0080314D" w:rsidP="0080314D">
      <w:r>
        <w:t xml:space="preserve">8. Struktura rachunku zysków i strat zakładu ubezpieczeń w dziale I </w:t>
      </w:r>
      <w:proofErr w:type="spellStart"/>
      <w:r>
        <w:t>i</w:t>
      </w:r>
      <w:proofErr w:type="spellEnd"/>
      <w:r>
        <w:t xml:space="preserve"> II </w:t>
      </w:r>
    </w:p>
    <w:p w14:paraId="557B8321" w14:textId="77777777" w:rsidR="0080314D" w:rsidRDefault="0080314D" w:rsidP="0080314D">
      <w:r>
        <w:t xml:space="preserve">9. Charakterystyka głównych pozycji bilansu zakładu ubezpieczeń </w:t>
      </w:r>
    </w:p>
    <w:p w14:paraId="21FFD376" w14:textId="77777777" w:rsidR="0080314D" w:rsidRDefault="0080314D" w:rsidP="0080314D">
      <w:r>
        <w:t xml:space="preserve">10. Teoria portfela Markowitza </w:t>
      </w:r>
    </w:p>
    <w:p w14:paraId="79699790" w14:textId="77777777" w:rsidR="0080314D" w:rsidRDefault="0080314D" w:rsidP="0080314D">
      <w:r>
        <w:t xml:space="preserve">11. Ocena efektywności inwestycji w </w:t>
      </w:r>
      <w:proofErr w:type="spellStart"/>
      <w:r>
        <w:t>cyberbezpieczeństwo</w:t>
      </w:r>
      <w:proofErr w:type="spellEnd"/>
      <w:r>
        <w:t xml:space="preserve"> </w:t>
      </w:r>
    </w:p>
    <w:p w14:paraId="0969F3F2" w14:textId="77777777" w:rsidR="0080314D" w:rsidRDefault="0080314D" w:rsidP="0080314D">
      <w:r>
        <w:t xml:space="preserve">12. Ubezpieczenie ryzyka cybernetycznego </w:t>
      </w:r>
    </w:p>
    <w:p w14:paraId="2B3767B7" w14:textId="77777777" w:rsidR="0080314D" w:rsidRDefault="0080314D" w:rsidP="0080314D">
      <w:r>
        <w:t xml:space="preserve">13. Zasady przetwarzania danych osobowych według RODO </w:t>
      </w:r>
    </w:p>
    <w:p w14:paraId="206A56D1" w14:textId="77777777" w:rsidR="0080314D" w:rsidRDefault="0080314D" w:rsidP="0080314D">
      <w:r>
        <w:t xml:space="preserve">14. Formy zabezpieczania się przed ryzykiem w instytucjach finansowych </w:t>
      </w:r>
    </w:p>
    <w:p w14:paraId="2711FBB2" w14:textId="77777777" w:rsidR="0080314D" w:rsidRDefault="0080314D" w:rsidP="0080314D">
      <w:r>
        <w:t xml:space="preserve">15. Zadania Rzecznika Finansowego </w:t>
      </w:r>
    </w:p>
    <w:p w14:paraId="0DC7534F" w14:textId="77777777" w:rsidR="0080314D" w:rsidRDefault="0080314D" w:rsidP="0080314D">
      <w:r>
        <w:t xml:space="preserve">16. Regulacyjno-instytucjonalna ochrona konsumentów usług ubezpieczeniowych </w:t>
      </w:r>
    </w:p>
    <w:p w14:paraId="7CE7EC89" w14:textId="77777777" w:rsidR="0080314D" w:rsidRDefault="0080314D" w:rsidP="0080314D">
      <w:r>
        <w:t xml:space="preserve">17. Probabilistyczne modele ryzyka ubezpieczeniowego </w:t>
      </w:r>
    </w:p>
    <w:p w14:paraId="4F0C4139" w14:textId="77777777" w:rsidR="0080314D" w:rsidRDefault="0080314D" w:rsidP="0080314D">
      <w:r>
        <w:t xml:space="preserve">18. Założenia koncepcyjne, cele i narzędzia planowania scenariuszowego </w:t>
      </w:r>
    </w:p>
    <w:p w14:paraId="396114C9" w14:textId="77777777" w:rsidR="0080314D" w:rsidRDefault="0080314D" w:rsidP="0080314D">
      <w:r>
        <w:t xml:space="preserve">19. Regulacje prawne i standardy bezpieczeństwa informacji przetwarzanych cyfrowo </w:t>
      </w:r>
    </w:p>
    <w:p w14:paraId="7BC261B1" w14:textId="77777777" w:rsidR="0080314D" w:rsidRDefault="0080314D" w:rsidP="0080314D">
      <w:r>
        <w:t xml:space="preserve">20. Reasekuracja – istota, funkcje i formy </w:t>
      </w:r>
    </w:p>
    <w:p w14:paraId="606A76C1" w14:textId="77777777" w:rsidR="0080314D" w:rsidRDefault="0080314D" w:rsidP="0080314D">
      <w:r>
        <w:t xml:space="preserve">21. Umowa reasekuracji a umowa ubezpieczenia </w:t>
      </w:r>
    </w:p>
    <w:p w14:paraId="02F49D74" w14:textId="77777777" w:rsidR="0080314D" w:rsidRDefault="0080314D" w:rsidP="0080314D">
      <w:r>
        <w:t xml:space="preserve">22. Ryzyko w działalności zakładów ubezpieczeń i zakładów reasekuracji </w:t>
      </w:r>
    </w:p>
    <w:p w14:paraId="7BA0C89E" w14:textId="77777777" w:rsidR="0080314D" w:rsidRDefault="0080314D" w:rsidP="0080314D">
      <w:r>
        <w:t xml:space="preserve">23. Modele regresyjne stosowane w modelowaniu predykcyjnym w finansach i ubezpieczeniach </w:t>
      </w:r>
    </w:p>
    <w:p w14:paraId="65CA8989" w14:textId="77777777" w:rsidR="0080314D" w:rsidRDefault="0080314D" w:rsidP="0080314D">
      <w:r>
        <w:t xml:space="preserve">24. Teoria prawdopodobieństwa a ryzyko </w:t>
      </w:r>
    </w:p>
    <w:p w14:paraId="17E5BD0A" w14:textId="77777777" w:rsidR="0080314D" w:rsidRDefault="0080314D" w:rsidP="0080314D">
      <w:r>
        <w:t xml:space="preserve">25. Instytucje rynku ubezpieczeń w zakresie ochrony konsumenta na rynku usług ubezpieczeniowych </w:t>
      </w:r>
    </w:p>
    <w:p w14:paraId="71846400" w14:textId="77777777" w:rsidR="0080314D" w:rsidRDefault="0080314D" w:rsidP="0080314D">
      <w:r>
        <w:t xml:space="preserve">26. Ubezpieczeniowy Fundusz Gwarancyjny – przesłanki powstania i funkcje </w:t>
      </w:r>
    </w:p>
    <w:p w14:paraId="551E9CE2" w14:textId="77777777" w:rsidR="0080314D" w:rsidRDefault="0080314D" w:rsidP="0080314D">
      <w:r>
        <w:t xml:space="preserve">27. Metody oceny ex </w:t>
      </w:r>
      <w:proofErr w:type="spellStart"/>
      <w:r>
        <w:t>ante</w:t>
      </w:r>
      <w:proofErr w:type="spellEnd"/>
      <w:r>
        <w:t xml:space="preserve"> i ex post trafności prognoz </w:t>
      </w:r>
    </w:p>
    <w:p w14:paraId="7363B16F" w14:textId="7EFD43CA" w:rsidR="0080314D" w:rsidRDefault="0080314D" w:rsidP="0080314D">
      <w:r>
        <w:t>28. Determinanty zmian cen ubezpieczeń komunikacyjnych</w:t>
      </w:r>
    </w:p>
    <w:p w14:paraId="3F7EC415" w14:textId="77777777" w:rsidR="0080314D" w:rsidRDefault="0080314D" w:rsidP="0080314D">
      <w:r>
        <w:t xml:space="preserve">29. Metody i instrumenty zarządzania ryzykiem w zakładach ubezpieczeń </w:t>
      </w:r>
    </w:p>
    <w:p w14:paraId="5C3E871A" w14:textId="127577BA" w:rsidR="0084789E" w:rsidRDefault="0080314D" w:rsidP="0080314D">
      <w:r>
        <w:t>30. Zarządzanie ryzykiem cybernetycznym</w:t>
      </w:r>
    </w:p>
    <w:sectPr w:rsidR="0084789E" w:rsidSect="00B0401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C21"/>
    <w:rsid w:val="00516FA8"/>
    <w:rsid w:val="0080314D"/>
    <w:rsid w:val="0084789E"/>
    <w:rsid w:val="00B0401B"/>
    <w:rsid w:val="00D0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4EF2E"/>
  <w15:chartTrackingRefBased/>
  <w15:docId w15:val="{52B4AFB1-EDEF-4132-9249-BE0B38686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6FA8"/>
    <w:pPr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Boda</dc:creator>
  <cp:keywords/>
  <dc:description/>
  <cp:lastModifiedBy>Michał Boda</cp:lastModifiedBy>
  <cp:revision>2</cp:revision>
  <dcterms:created xsi:type="dcterms:W3CDTF">2024-03-12T15:05:00Z</dcterms:created>
  <dcterms:modified xsi:type="dcterms:W3CDTF">2024-03-12T15:06:00Z</dcterms:modified>
</cp:coreProperties>
</file>